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78" w:rsidRDefault="00E01A78" w:rsidP="00E01A78">
      <w:r>
        <w:t>Hi,</w:t>
      </w:r>
    </w:p>
    <w:p w:rsidR="00E01A78" w:rsidRDefault="00E01A78" w:rsidP="00E01A78"/>
    <w:p w:rsidR="00E01A78" w:rsidRDefault="00E01A78" w:rsidP="00E01A78">
      <w:r>
        <w:t>If we have invited you it’s because we believe that you have some sort of AAL platform.</w:t>
      </w:r>
    </w:p>
    <w:p w:rsidR="00E01A78" w:rsidRDefault="00E01A78" w:rsidP="00E01A78">
      <w:r>
        <w:t xml:space="preserve">With </w:t>
      </w:r>
      <w:r w:rsidRPr="00E01A78">
        <w:rPr>
          <w:i/>
        </w:rPr>
        <w:t>AAL platform</w:t>
      </w:r>
      <w:r w:rsidRPr="00E01A78">
        <w:t xml:space="preserve"> </w:t>
      </w:r>
      <w:r>
        <w:t xml:space="preserve">we mean </w:t>
      </w:r>
      <w:r w:rsidRPr="00E01A78">
        <w:t>"a set of libraries, tools and programming abstractions on top of which applications are built. In concrete we consider application that aim at facilitating a healthy and independent life to elderly or disabled people (aka Ambient Assisted Living)"</w:t>
      </w:r>
    </w:p>
    <w:p w:rsidR="00E01A78" w:rsidRDefault="00E01A78" w:rsidP="00E01A78"/>
    <w:p w:rsidR="00E01A78" w:rsidRDefault="00E01A78" w:rsidP="00E01A78">
      <w:r>
        <w:t>We have invited you to compare the architecture of your AAL platform with our architecture. The aim is two-fold: understanding how “reference” is our architecture and checking if your platform is compatible with our architecture.</w:t>
      </w:r>
    </w:p>
    <w:p w:rsidR="00E01A78" w:rsidRDefault="00E01A78" w:rsidP="00E01A78"/>
    <w:p w:rsidR="00E01A78" w:rsidRDefault="00E01A78" w:rsidP="00E01A78">
      <w:r>
        <w:t>The way the comparison is done is through comparing functiona</w:t>
      </w:r>
      <w:r>
        <w:t xml:space="preserve">lities, in our context called </w:t>
      </w:r>
      <w:r w:rsidR="00E51044">
        <w:t xml:space="preserve">RAS (Reference Architecture Service). We just want to know what </w:t>
      </w:r>
      <w:proofErr w:type="spellStart"/>
      <w:r w:rsidR="00E51044">
        <w:t>RASes</w:t>
      </w:r>
      <w:proofErr w:type="spellEnd"/>
      <w:r w:rsidR="00E51044">
        <w:t xml:space="preserve"> we share with your platform and what are missing or exceeding.</w:t>
      </w:r>
    </w:p>
    <w:p w:rsidR="00E51044" w:rsidRDefault="00E51044" w:rsidP="00E01A78"/>
    <w:p w:rsidR="00202FDE" w:rsidRDefault="00E51044" w:rsidP="00202FDE">
      <w:r>
        <w:t>The comparison is done in an Excel Sheet, attached in the same email of this document.</w:t>
      </w:r>
    </w:p>
    <w:p w:rsidR="00E01A78" w:rsidRDefault="00E01A78" w:rsidP="00202FDE"/>
    <w:p w:rsidR="00E01A78" w:rsidRDefault="00E01A78" w:rsidP="00202FDE"/>
    <w:p w:rsidR="00202FDE" w:rsidRDefault="00E51044" w:rsidP="00202FDE">
      <w:r>
        <w:t>Before starting, maybe it would be good to give you an introduction of the Reference Architecture. B</w:t>
      </w:r>
      <w:r w:rsidR="00202FDE">
        <w:t>elow is a brief summary</w:t>
      </w:r>
      <w:r>
        <w:t xml:space="preserve"> t</w:t>
      </w:r>
      <w:r w:rsidR="00E01A78">
        <w:t>hat should make it clear to you what the purpose of the RA is and how it is structured.</w:t>
      </w:r>
    </w:p>
    <w:p w:rsidR="00E01A78" w:rsidRDefault="00E01A78" w:rsidP="00202FDE"/>
    <w:p w:rsidR="00E01A78" w:rsidRDefault="00E01A78" w:rsidP="00202FDE"/>
    <w:p w:rsidR="00E01A78" w:rsidRDefault="00E01A78" w:rsidP="00202FDE"/>
    <w:p w:rsidR="00202FDE" w:rsidRPr="000171B6" w:rsidRDefault="00202FDE" w:rsidP="00202FDE">
      <w:r>
        <w:t xml:space="preserve">The universAAL reference architecture models </w:t>
      </w:r>
      <w:r w:rsidRPr="000171B6">
        <w:t xml:space="preserve">the abstract architectural elements (building blocks) in the domain </w:t>
      </w:r>
      <w:r>
        <w:t xml:space="preserve">of AAL </w:t>
      </w:r>
      <w:r w:rsidRPr="000171B6">
        <w:t>independent of the technologies, protocols, and products that are used to implement the</w:t>
      </w:r>
      <w:r>
        <w:t xml:space="preserve">m. </w:t>
      </w:r>
    </w:p>
    <w:p w:rsidR="00202FDE" w:rsidRDefault="00202FDE" w:rsidP="00202FDE"/>
    <w:p w:rsidR="00202FDE" w:rsidRDefault="00202FDE" w:rsidP="00202FDE">
      <w:r>
        <w:t xml:space="preserve">The expected impacts and goals of the reference architecture are: </w:t>
      </w:r>
    </w:p>
    <w:p w:rsidR="00202FDE" w:rsidRPr="00A30714" w:rsidRDefault="00202FDE" w:rsidP="00202FDE">
      <w:pPr>
        <w:pStyle w:val="Textoindependiente"/>
        <w:numPr>
          <w:ilvl w:val="0"/>
          <w:numId w:val="1"/>
        </w:numPr>
        <w:spacing w:line="276" w:lineRule="auto"/>
      </w:pPr>
      <w:r w:rsidRPr="00A30714">
        <w:t>Taking into account all major stakeholders: Many AAL systems fail to innovate because they address only one stakeholder (e.g. only the elderly) or omit important stakeholders (e.g. service providers). A RA should demonstrate how the various stakeholders' expectations are addressed.</w:t>
      </w:r>
    </w:p>
    <w:p w:rsidR="00202FDE" w:rsidRPr="00A30714" w:rsidRDefault="00202FDE" w:rsidP="00202FDE">
      <w:pPr>
        <w:pStyle w:val="Textoindependiente"/>
        <w:numPr>
          <w:ilvl w:val="0"/>
          <w:numId w:val="1"/>
        </w:numPr>
        <w:spacing w:line="276" w:lineRule="auto"/>
      </w:pPr>
      <w:r w:rsidRPr="00A30714">
        <w:t>Allowing a preliminary level of interoperability: Concepts, functionality and business aspects of AAL systems are premature and under constant development. The RA should capture what is currently agreed upon by all in order to enable a basic preliminary level of interoperability and systematization of knowledge creation.</w:t>
      </w:r>
    </w:p>
    <w:p w:rsidR="00202FDE" w:rsidRPr="00A30714" w:rsidRDefault="00202FDE" w:rsidP="00202FDE">
      <w:pPr>
        <w:pStyle w:val="Textoindependiente"/>
        <w:numPr>
          <w:ilvl w:val="0"/>
          <w:numId w:val="1"/>
        </w:numPr>
        <w:spacing w:line="276" w:lineRule="auto"/>
      </w:pPr>
      <w:r w:rsidRPr="00A30714">
        <w:t>Leaving space for innovation: AAL is an innovative area. A lot of resources are being invested in R&amp;D in order to both understand the domain and to understand the possibilities offered by the technologies. RA should not prevent these innovations from happening.</w:t>
      </w:r>
    </w:p>
    <w:p w:rsidR="00202FDE" w:rsidRPr="00A30714" w:rsidRDefault="00202FDE" w:rsidP="00202FDE">
      <w:pPr>
        <w:pStyle w:val="Textoindependiente"/>
        <w:numPr>
          <w:ilvl w:val="0"/>
          <w:numId w:val="1"/>
        </w:numPr>
        <w:spacing w:line="276" w:lineRule="auto"/>
      </w:pPr>
      <w:r w:rsidRPr="00A30714">
        <w:t>Largest possible coverage of existing systems: The RA should demonstrate that it can cover all the demonstrated architectures in the domain in terms of the already developed systems.</w:t>
      </w:r>
    </w:p>
    <w:p w:rsidR="00202FDE" w:rsidRPr="00A30714" w:rsidRDefault="00202FDE" w:rsidP="00202FDE">
      <w:pPr>
        <w:pStyle w:val="Textoindependiente"/>
        <w:numPr>
          <w:ilvl w:val="0"/>
          <w:numId w:val="1"/>
        </w:numPr>
        <w:spacing w:line="276" w:lineRule="auto"/>
      </w:pPr>
      <w:r w:rsidRPr="00A30714">
        <w:t>Different areas of compliance: The RA should allow stakeholders interest</w:t>
      </w:r>
      <w:r>
        <w:t>ed</w:t>
      </w:r>
      <w:r w:rsidRPr="00A30714">
        <w:t xml:space="preserve"> in offering or consuming services to select what they need and omit what they don't. The RA should not follow an "all or nothing" approach.</w:t>
      </w:r>
    </w:p>
    <w:p w:rsidR="00202FDE" w:rsidRPr="00A30714" w:rsidRDefault="00202FDE" w:rsidP="00202FDE">
      <w:pPr>
        <w:pStyle w:val="Textoindependiente"/>
        <w:numPr>
          <w:ilvl w:val="0"/>
          <w:numId w:val="1"/>
        </w:numPr>
        <w:spacing w:line="276" w:lineRule="auto"/>
      </w:pPr>
      <w:r w:rsidRPr="00A30714">
        <w:lastRenderedPageBreak/>
        <w:t>Interoperability with related domains: AAL systems are a specific type of mobile and wireless systems, several types of which are used by many present and would-be elderly. It is unrealistic to expect users to switch from other platforms to AAL platforms when they get old. AAL platforms need to be interoperable with a number of similar platforms, and support migration from other platforms.</w:t>
      </w:r>
    </w:p>
    <w:p w:rsidR="00202FDE" w:rsidRPr="00A30714" w:rsidRDefault="00202FDE" w:rsidP="00202FDE">
      <w:pPr>
        <w:pStyle w:val="Textoindependiente"/>
        <w:numPr>
          <w:ilvl w:val="0"/>
          <w:numId w:val="1"/>
        </w:numPr>
        <w:spacing w:line="276" w:lineRule="auto"/>
      </w:pPr>
      <w:r w:rsidRPr="00A30714">
        <w:t>Open for evolution: The RA should be open for changes in form of expanded scope or higher levels of detail in the future as the market matures.</w:t>
      </w:r>
    </w:p>
    <w:p w:rsidR="00202FDE" w:rsidRPr="00A30714" w:rsidRDefault="00202FDE" w:rsidP="00202FDE">
      <w:pPr>
        <w:pStyle w:val="Textoindependiente"/>
        <w:numPr>
          <w:ilvl w:val="0"/>
          <w:numId w:val="1"/>
        </w:numPr>
        <w:spacing w:line="276" w:lineRule="auto"/>
      </w:pPr>
      <w:r w:rsidRPr="00A30714">
        <w:t>Accepted by the stakeholders: The RA should be accepted by the stakeholders in the domain it covers.</w:t>
      </w:r>
    </w:p>
    <w:p w:rsidR="00202FDE" w:rsidRDefault="00202FDE" w:rsidP="00202FDE"/>
    <w:p w:rsidR="00202FDE" w:rsidRDefault="00202FDE" w:rsidP="00202FDE"/>
    <w:p w:rsidR="00202FDE" w:rsidRDefault="00202FDE" w:rsidP="00202FDE">
      <w:r>
        <w:t>There are four categories of services in the Reference Architecture:</w:t>
      </w:r>
    </w:p>
    <w:p w:rsidR="00202FDE" w:rsidRDefault="00202FDE" w:rsidP="00202F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6967"/>
      </w:tblGrid>
      <w:tr w:rsidR="00202FDE" w:rsidRPr="00A30714" w:rsidTr="00D7644B">
        <w:trPr>
          <w:cantSplit/>
          <w:tblHeader/>
        </w:trPr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  <w:rPr>
                <w:b/>
              </w:rPr>
            </w:pPr>
            <w:r>
              <w:rPr>
                <w:b/>
              </w:rPr>
              <w:t>Types of Services</w:t>
            </w:r>
          </w:p>
        </w:tc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  <w:rPr>
                <w:b/>
              </w:rPr>
            </w:pPr>
            <w:r w:rsidRPr="00A04F56">
              <w:rPr>
                <w:b/>
              </w:rPr>
              <w:t>Meaning</w:t>
            </w:r>
          </w:p>
        </w:tc>
      </w:tr>
      <w:tr w:rsidR="00202FDE" w:rsidRPr="00A30714" w:rsidTr="00D7644B">
        <w:trPr>
          <w:cantSplit/>
        </w:trPr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</w:pPr>
            <w:r w:rsidRPr="00A04F56">
              <w:t>Platform-to-Platform</w:t>
            </w:r>
          </w:p>
        </w:tc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</w:pPr>
            <w:r w:rsidRPr="00A04F56">
              <w:t>Services that are provided by one platform stakeholder to other platform stakeholders of a different type</w:t>
            </w:r>
            <w:r>
              <w:t xml:space="preserve"> (e.g. a web service provider requires remote data from a remote database service provider)</w:t>
            </w:r>
            <w:r w:rsidRPr="00A04F56">
              <w:t>.</w:t>
            </w:r>
          </w:p>
        </w:tc>
      </w:tr>
      <w:tr w:rsidR="00202FDE" w:rsidRPr="00A30714" w:rsidTr="00D7644B">
        <w:trPr>
          <w:cantSplit/>
        </w:trPr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</w:pPr>
            <w:r w:rsidRPr="00A04F56">
              <w:t xml:space="preserve">Platform-to-Client </w:t>
            </w:r>
          </w:p>
        </w:tc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</w:pPr>
            <w:r w:rsidRPr="00A04F56">
              <w:t>Services that are provided by a platform stakeholder to client stakeholders</w:t>
            </w:r>
            <w:r>
              <w:t xml:space="preserve"> (e.g. a web service provider provides a remote configuration service to a client’s smart kitchen)</w:t>
            </w:r>
            <w:r w:rsidRPr="00A04F56">
              <w:t>.</w:t>
            </w:r>
          </w:p>
        </w:tc>
      </w:tr>
      <w:tr w:rsidR="00202FDE" w:rsidRPr="00A30714" w:rsidTr="00D7644B">
        <w:trPr>
          <w:cantSplit/>
        </w:trPr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</w:pPr>
            <w:r w:rsidRPr="00A04F56">
              <w:t>Peer</w:t>
            </w:r>
          </w:p>
        </w:tc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</w:pPr>
            <w:r w:rsidRPr="00A04F56">
              <w:t>Services that are provided by one type of platform stakeholder to other platform stakeholders of the same type (e.g. services exchange among runtime support providers).</w:t>
            </w:r>
          </w:p>
        </w:tc>
      </w:tr>
      <w:tr w:rsidR="00202FDE" w:rsidRPr="00A30714" w:rsidTr="00D7644B">
        <w:trPr>
          <w:cantSplit/>
        </w:trPr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</w:pPr>
            <w:r w:rsidRPr="00A04F56">
              <w:t>Platform-to-AAL Service</w:t>
            </w:r>
          </w:p>
        </w:tc>
        <w:tc>
          <w:tcPr>
            <w:tcW w:w="0" w:type="auto"/>
          </w:tcPr>
          <w:p w:rsidR="00202FDE" w:rsidRPr="00A04F56" w:rsidRDefault="00202FDE" w:rsidP="00D7644B">
            <w:pPr>
              <w:pStyle w:val="Textoindependiente"/>
            </w:pPr>
            <w:r w:rsidRPr="00A04F56">
              <w:t>Services provided at runtime to operational AAL Services. This category of services is currently relevant for AAL Runtime Support Providers.</w:t>
            </w:r>
          </w:p>
        </w:tc>
      </w:tr>
    </w:tbl>
    <w:p w:rsidR="00202FDE" w:rsidRDefault="00202FDE" w:rsidP="00202FDE"/>
    <w:p w:rsidR="001E082F" w:rsidRDefault="001E082F"/>
    <w:p w:rsidR="00E01A78" w:rsidRDefault="00E01A78"/>
    <w:p w:rsidR="00E01A78" w:rsidRDefault="00E01A78">
      <w:bookmarkStart w:id="0" w:name="_GoBack"/>
      <w:bookmarkEnd w:id="0"/>
    </w:p>
    <w:sectPr w:rsidR="00E01A78" w:rsidSect="001E08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479E"/>
    <w:multiLevelType w:val="hybridMultilevel"/>
    <w:tmpl w:val="7DA0C3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E"/>
    <w:rsid w:val="001E082F"/>
    <w:rsid w:val="00202FDE"/>
    <w:rsid w:val="00E01A78"/>
    <w:rsid w:val="00E5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DE"/>
    <w:pPr>
      <w:spacing w:line="260" w:lineRule="auto"/>
      <w:jc w:val="both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202FDE"/>
    <w:pPr>
      <w:spacing w:before="120" w:after="120" w:line="259" w:lineRule="auto"/>
    </w:pPr>
    <w:rPr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02FDE"/>
    <w:rPr>
      <w:rFonts w:ascii="Times New Roman" w:eastAsia="Times New Roman" w:hAnsi="Times New Roman" w:cs="Times New Roman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DE"/>
    <w:pPr>
      <w:spacing w:line="260" w:lineRule="auto"/>
      <w:jc w:val="both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202FDE"/>
    <w:pPr>
      <w:spacing w:before="120" w:after="120" w:line="259" w:lineRule="auto"/>
    </w:pPr>
    <w:rPr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02FDE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SINTEF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Mikalsen</dc:creator>
  <cp:keywords/>
  <dc:description/>
  <cp:lastModifiedBy>Dario Salvi</cp:lastModifiedBy>
  <cp:revision>2</cp:revision>
  <dcterms:created xsi:type="dcterms:W3CDTF">2013-03-20T08:46:00Z</dcterms:created>
  <dcterms:modified xsi:type="dcterms:W3CDTF">2013-03-21T15:11:00Z</dcterms:modified>
</cp:coreProperties>
</file>